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3B3C3" w14:textId="77014CD3" w:rsidR="7AF687E0" w:rsidRDefault="7AF687E0" w:rsidP="7AF687E0">
      <w:pPr>
        <w:spacing w:after="200" w:line="276" w:lineRule="auto"/>
      </w:pPr>
      <w:r>
        <w:rPr>
          <w:noProof/>
          <w:lang w:val="en-GB" w:eastAsia="en-GB"/>
        </w:rPr>
        <w:drawing>
          <wp:inline distT="0" distB="0" distL="0" distR="0" wp14:anchorId="3369B884" wp14:editId="774CA2ED">
            <wp:extent cx="1551334" cy="773073"/>
            <wp:effectExtent l="0" t="0" r="0" b="0"/>
            <wp:docPr id="581865583" name="Picture 581865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51334" cy="773073"/>
                    </a:xfrm>
                    <a:prstGeom prst="rect">
                      <a:avLst/>
                    </a:prstGeom>
                  </pic:spPr>
                </pic:pic>
              </a:graphicData>
            </a:graphic>
          </wp:inline>
        </w:drawing>
      </w:r>
      <w:r>
        <w:rPr>
          <w:noProof/>
          <w:lang w:val="en-GB" w:eastAsia="en-GB"/>
        </w:rPr>
        <w:drawing>
          <wp:inline distT="0" distB="0" distL="0" distR="0" wp14:anchorId="0E4FACAA" wp14:editId="1AAE1D2B">
            <wp:extent cx="1918089" cy="781050"/>
            <wp:effectExtent l="0" t="0" r="0" b="0"/>
            <wp:docPr id="1230370232" name="Picture 123037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18089" cy="781050"/>
                    </a:xfrm>
                    <a:prstGeom prst="rect">
                      <a:avLst/>
                    </a:prstGeom>
                  </pic:spPr>
                </pic:pic>
              </a:graphicData>
            </a:graphic>
          </wp:inline>
        </w:drawing>
      </w:r>
      <w:r>
        <w:rPr>
          <w:noProof/>
          <w:lang w:val="en-GB" w:eastAsia="en-GB"/>
        </w:rPr>
        <w:drawing>
          <wp:inline distT="0" distB="0" distL="0" distR="0" wp14:anchorId="195A668D" wp14:editId="59900F21">
            <wp:extent cx="1729409" cy="828675"/>
            <wp:effectExtent l="0" t="0" r="0" b="0"/>
            <wp:docPr id="1462915357" name="Picture 1462915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9409" cy="828675"/>
                    </a:xfrm>
                    <a:prstGeom prst="rect">
                      <a:avLst/>
                    </a:prstGeom>
                  </pic:spPr>
                </pic:pic>
              </a:graphicData>
            </a:graphic>
          </wp:inline>
        </w:drawing>
      </w:r>
    </w:p>
    <w:p w14:paraId="6AD8E6EC" w14:textId="777387FF" w:rsidR="7AF687E0" w:rsidRDefault="7AF687E0" w:rsidP="17850625">
      <w:pPr>
        <w:spacing w:after="200" w:line="276" w:lineRule="auto"/>
        <w:rPr>
          <w:rFonts w:ascii="Arial Narrow" w:eastAsia="Arial Narrow" w:hAnsi="Arial Narrow" w:cs="Arial Narrow"/>
          <w:b/>
          <w:bCs/>
          <w:sz w:val="22"/>
          <w:szCs w:val="22"/>
          <w:lang w:val="en-GB"/>
        </w:rPr>
      </w:pPr>
    </w:p>
    <w:p w14:paraId="64BA449A" w14:textId="6C763A9A" w:rsidR="7AF687E0" w:rsidRDefault="17850625" w:rsidP="17850625">
      <w:pPr>
        <w:spacing w:after="200" w:line="276" w:lineRule="auto"/>
        <w:jc w:val="center"/>
        <w:rPr>
          <w:rFonts w:ascii="Arial Narrow" w:eastAsia="Arial Narrow" w:hAnsi="Arial Narrow" w:cs="Arial Narrow"/>
          <w:sz w:val="28"/>
          <w:szCs w:val="28"/>
        </w:rPr>
      </w:pPr>
      <w:r w:rsidRPr="17850625">
        <w:rPr>
          <w:rFonts w:ascii="Arial Narrow" w:eastAsia="Arial Narrow" w:hAnsi="Arial Narrow" w:cs="Arial Narrow"/>
          <w:b/>
          <w:bCs/>
          <w:sz w:val="28"/>
          <w:szCs w:val="28"/>
          <w:lang w:val="en-GB"/>
        </w:rPr>
        <w:t>Grand Challenges Teacher Placements</w:t>
      </w:r>
    </w:p>
    <w:p w14:paraId="3FD9606B" w14:textId="73AAE23D" w:rsidR="7AF687E0" w:rsidRDefault="7AF687E0" w:rsidP="7AF687E0">
      <w:pPr>
        <w:spacing w:after="200" w:line="276" w:lineRule="auto"/>
        <w:rPr>
          <w:rFonts w:ascii="Arial Narrow" w:eastAsia="Arial Narrow" w:hAnsi="Arial Narrow" w:cs="Arial Narrow"/>
          <w:sz w:val="22"/>
          <w:szCs w:val="22"/>
        </w:rPr>
      </w:pPr>
      <w:r w:rsidRPr="7AF687E0">
        <w:rPr>
          <w:rFonts w:ascii="Arial Narrow" w:eastAsia="Arial Narrow" w:hAnsi="Arial Narrow" w:cs="Arial Narrow"/>
          <w:sz w:val="22"/>
          <w:szCs w:val="22"/>
          <w:lang w:val="en-GB"/>
        </w:rPr>
        <w:t>The Government's Industrial Strategy sets out four key Grand Challenge themes, aimed at putting the UK at the forefront of future industry. Each challenge focuses on a specific real-world problem, and each of these problems offers a real opportunity to enthuse and inspire young people in their learning. </w:t>
      </w:r>
    </w:p>
    <w:p w14:paraId="4C27B264" w14:textId="1FEBE894" w:rsidR="7AF687E0" w:rsidRDefault="7AF687E0" w:rsidP="7AF687E0">
      <w:pPr>
        <w:pStyle w:val="ListParagraph"/>
        <w:numPr>
          <w:ilvl w:val="0"/>
          <w:numId w:val="1"/>
        </w:numPr>
        <w:spacing w:after="200" w:line="276" w:lineRule="auto"/>
        <w:rPr>
          <w:sz w:val="22"/>
          <w:szCs w:val="22"/>
        </w:rPr>
      </w:pPr>
      <w:r w:rsidRPr="7AF687E0">
        <w:rPr>
          <w:rFonts w:ascii="Arial Narrow" w:eastAsia="Arial Narrow" w:hAnsi="Arial Narrow" w:cs="Arial Narrow"/>
          <w:sz w:val="22"/>
          <w:szCs w:val="22"/>
          <w:lang w:val="en-GB"/>
        </w:rPr>
        <w:t>Artificial intelligence: Using data, AI and innovation to transform the prevention, early diagnosis and treatment of chronic diseases by 2030.</w:t>
      </w:r>
      <w:r w:rsidRPr="7AF687E0">
        <w:rPr>
          <w:rFonts w:ascii="Arial Narrow" w:eastAsia="Arial Narrow" w:hAnsi="Arial Narrow" w:cs="Arial Narrow"/>
          <w:b/>
          <w:bCs/>
          <w:sz w:val="22"/>
          <w:szCs w:val="22"/>
          <w:lang w:val="en-GB"/>
        </w:rPr>
        <w:t> </w:t>
      </w:r>
    </w:p>
    <w:p w14:paraId="5DF32159" w14:textId="5F41D060" w:rsidR="7AF687E0" w:rsidRDefault="7AF687E0" w:rsidP="7AF687E0">
      <w:pPr>
        <w:pStyle w:val="ListParagraph"/>
        <w:numPr>
          <w:ilvl w:val="0"/>
          <w:numId w:val="1"/>
        </w:numPr>
        <w:spacing w:after="200" w:line="276" w:lineRule="auto"/>
        <w:rPr>
          <w:sz w:val="22"/>
          <w:szCs w:val="22"/>
        </w:rPr>
      </w:pPr>
      <w:r w:rsidRPr="7AF687E0">
        <w:rPr>
          <w:rFonts w:ascii="Arial Narrow" w:eastAsia="Arial Narrow" w:hAnsi="Arial Narrow" w:cs="Arial Narrow"/>
          <w:sz w:val="22"/>
          <w:szCs w:val="22"/>
          <w:lang w:val="en-GB"/>
        </w:rPr>
        <w:t>Ageing society: Ensure that people can enjoy at least 5 extra healthy, independent years of life by 2035.</w:t>
      </w:r>
    </w:p>
    <w:p w14:paraId="29D5EB9C" w14:textId="696A6A71" w:rsidR="7AF687E0" w:rsidRDefault="7AF687E0" w:rsidP="7AF687E0">
      <w:pPr>
        <w:pStyle w:val="ListParagraph"/>
        <w:numPr>
          <w:ilvl w:val="0"/>
          <w:numId w:val="1"/>
        </w:numPr>
        <w:spacing w:after="200" w:line="276" w:lineRule="auto"/>
        <w:rPr>
          <w:sz w:val="22"/>
          <w:szCs w:val="22"/>
        </w:rPr>
      </w:pPr>
      <w:r w:rsidRPr="7AF687E0">
        <w:rPr>
          <w:rFonts w:ascii="Arial Narrow" w:eastAsia="Arial Narrow" w:hAnsi="Arial Narrow" w:cs="Arial Narrow"/>
          <w:sz w:val="22"/>
          <w:szCs w:val="22"/>
          <w:lang w:val="en-GB"/>
        </w:rPr>
        <w:t>Clean growth: At least half the energy use of new buildings by 2030.</w:t>
      </w:r>
    </w:p>
    <w:p w14:paraId="33D18244" w14:textId="49705B31" w:rsidR="7AF687E0" w:rsidRDefault="7AF687E0" w:rsidP="7AF687E0">
      <w:pPr>
        <w:pStyle w:val="ListParagraph"/>
        <w:numPr>
          <w:ilvl w:val="0"/>
          <w:numId w:val="1"/>
        </w:numPr>
        <w:spacing w:after="200" w:line="276" w:lineRule="auto"/>
        <w:rPr>
          <w:sz w:val="22"/>
          <w:szCs w:val="22"/>
        </w:rPr>
      </w:pPr>
      <w:r w:rsidRPr="7AF687E0">
        <w:rPr>
          <w:rFonts w:ascii="Arial Narrow" w:eastAsia="Arial Narrow" w:hAnsi="Arial Narrow" w:cs="Arial Narrow"/>
          <w:sz w:val="22"/>
          <w:szCs w:val="22"/>
          <w:lang w:val="en-GB"/>
        </w:rPr>
        <w:t>Future mobility: Put the UK at the forefront of the design and manufacturing of zero-emission vehicles, with all new cars and vans effectively zero emission by 2040.</w:t>
      </w:r>
    </w:p>
    <w:p w14:paraId="37D8C85A" w14:textId="12E62952" w:rsidR="7AF687E0" w:rsidRDefault="4EEB5DE3" w:rsidP="4EEB5DE3">
      <w:pPr>
        <w:spacing w:after="200" w:line="276" w:lineRule="auto"/>
        <w:rPr>
          <w:rFonts w:ascii="Arial Narrow" w:eastAsia="Arial Narrow" w:hAnsi="Arial Narrow" w:cs="Arial Narrow"/>
          <w:sz w:val="22"/>
          <w:szCs w:val="22"/>
        </w:rPr>
      </w:pPr>
      <w:r w:rsidRPr="4EEB5DE3">
        <w:rPr>
          <w:rFonts w:ascii="Arial Narrow" w:eastAsia="Arial Narrow" w:hAnsi="Arial Narrow" w:cs="Arial Narrow"/>
          <w:sz w:val="22"/>
          <w:szCs w:val="22"/>
          <w:lang w:val="en-GB"/>
        </w:rPr>
        <w:t>STEM Learning has recently launched its</w:t>
      </w:r>
      <w:r w:rsidRPr="4EEB5DE3">
        <w:rPr>
          <w:rFonts w:ascii="Arial Narrow" w:eastAsia="Arial Narrow" w:hAnsi="Arial Narrow" w:cs="Arial Narrow"/>
          <w:b/>
          <w:bCs/>
          <w:sz w:val="22"/>
          <w:szCs w:val="22"/>
          <w:lang w:val="en-GB"/>
        </w:rPr>
        <w:t xml:space="preserve"> </w:t>
      </w:r>
      <w:r w:rsidRPr="4EEB5DE3">
        <w:rPr>
          <w:rFonts w:ascii="Arial Narrow" w:eastAsia="Arial Narrow" w:hAnsi="Arial Narrow" w:cs="Arial Narrow"/>
          <w:sz w:val="22"/>
          <w:szCs w:val="22"/>
          <w:lang w:val="en-GB"/>
        </w:rPr>
        <w:t>Grand Challenges – Our Futures</w:t>
      </w:r>
      <w:r w:rsidRPr="4EEB5DE3">
        <w:rPr>
          <w:rFonts w:ascii="Arial Narrow" w:eastAsia="Arial Narrow" w:hAnsi="Arial Narrow" w:cs="Arial Narrow"/>
          <w:b/>
          <w:bCs/>
          <w:sz w:val="22"/>
          <w:szCs w:val="22"/>
          <w:lang w:val="en-GB"/>
        </w:rPr>
        <w:t xml:space="preserve"> </w:t>
      </w:r>
      <w:r w:rsidRPr="4EEB5DE3">
        <w:rPr>
          <w:rFonts w:ascii="Arial Narrow" w:eastAsia="Arial Narrow" w:hAnsi="Arial Narrow" w:cs="Arial Narrow"/>
          <w:sz w:val="22"/>
          <w:szCs w:val="22"/>
          <w:lang w:val="en-GB"/>
        </w:rPr>
        <w:t>programme to raise awareness of Grand Challenge related industries and support young people to make career decisions based on opportunities of the future. This programme is funded by the Department for Business, Energy &amp; Industrial Strategy (BEIS).</w:t>
      </w:r>
    </w:p>
    <w:p w14:paraId="5E271A4D" w14:textId="7B7F0C49" w:rsidR="7AF687E0" w:rsidRDefault="17850625" w:rsidP="17850625">
      <w:pPr>
        <w:spacing w:after="200" w:line="276" w:lineRule="auto"/>
        <w:rPr>
          <w:rFonts w:ascii="Arial Narrow" w:eastAsia="Arial Narrow" w:hAnsi="Arial Narrow" w:cs="Arial Narrow"/>
          <w:sz w:val="22"/>
          <w:szCs w:val="22"/>
          <w:lang w:val="en-GB"/>
        </w:rPr>
      </w:pPr>
      <w:bookmarkStart w:id="0" w:name="_GoBack"/>
      <w:r w:rsidRPr="17850625">
        <w:rPr>
          <w:rFonts w:ascii="Arial Narrow" w:eastAsia="Arial Narrow" w:hAnsi="Arial Narrow" w:cs="Arial Narrow"/>
          <w:sz w:val="22"/>
          <w:szCs w:val="22"/>
          <w:lang w:val="en-GB"/>
        </w:rPr>
        <w:t xml:space="preserve">Grand Challenge Teacher Placements are a unique opportunity for teachers to learn what future technologies will offer in terms of careers and job roles, from the very people who are developing those future technologies right now. </w:t>
      </w:r>
    </w:p>
    <w:bookmarkEnd w:id="0"/>
    <w:p w14:paraId="484178A3" w14:textId="192F37DB" w:rsidR="17850625" w:rsidRDefault="17850625" w:rsidP="17850625">
      <w:pPr>
        <w:spacing w:after="200" w:line="276" w:lineRule="auto"/>
        <w:rPr>
          <w:rFonts w:ascii="Arial Narrow" w:eastAsia="Arial Narrow" w:hAnsi="Arial Narrow" w:cs="Arial Narrow"/>
          <w:sz w:val="22"/>
          <w:szCs w:val="22"/>
          <w:lang w:val="en-GB"/>
        </w:rPr>
      </w:pPr>
      <w:r w:rsidRPr="17850625">
        <w:rPr>
          <w:rFonts w:ascii="Arial Narrow" w:eastAsia="Arial Narrow" w:hAnsi="Arial Narrow" w:cs="Arial Narrow"/>
          <w:sz w:val="22"/>
          <w:szCs w:val="22"/>
          <w:lang w:val="en-GB"/>
        </w:rPr>
        <w:t>Through their 3 day placements, participants will appreciate the importance of thinking ahead and learn what skills young people will need to succeed in the future. The placement will be preceded by a scoping meeting and followed up with a reflection session at which teachers will plan on how to share their experiences with their school community.</w:t>
      </w:r>
    </w:p>
    <w:p w14:paraId="5216D0DC" w14:textId="05D0FBCE" w:rsidR="17850625" w:rsidRDefault="17850625" w:rsidP="17850625">
      <w:pPr>
        <w:spacing w:after="200" w:line="276" w:lineRule="auto"/>
        <w:rPr>
          <w:rFonts w:ascii="Arial Narrow" w:eastAsia="Arial Narrow" w:hAnsi="Arial Narrow" w:cs="Arial Narrow"/>
          <w:sz w:val="22"/>
          <w:szCs w:val="22"/>
          <w:lang w:val="en-GB"/>
        </w:rPr>
      </w:pPr>
    </w:p>
    <w:p w14:paraId="2BA46B4C" w14:textId="294608F4" w:rsidR="17850625" w:rsidRDefault="17850625" w:rsidP="17850625">
      <w:pPr>
        <w:spacing w:after="200" w:line="276" w:lineRule="auto"/>
        <w:rPr>
          <w:rFonts w:ascii="Arial Narrow" w:eastAsia="Arial Narrow" w:hAnsi="Arial Narrow" w:cs="Arial Narrow"/>
          <w:sz w:val="22"/>
          <w:szCs w:val="22"/>
          <w:lang w:val="en-GB"/>
        </w:rPr>
      </w:pPr>
      <w:r w:rsidRPr="17850625">
        <w:rPr>
          <w:rFonts w:ascii="Arial Narrow" w:eastAsia="Arial Narrow" w:hAnsi="Arial Narrow" w:cs="Arial Narrow"/>
          <w:b/>
          <w:bCs/>
          <w:sz w:val="22"/>
          <w:szCs w:val="22"/>
          <w:lang w:val="en-GB"/>
        </w:rPr>
        <w:t>Merck BioReliance</w:t>
      </w:r>
      <w:r w:rsidRPr="17850625">
        <w:rPr>
          <w:rFonts w:ascii="Arial Narrow" w:eastAsia="Arial Narrow" w:hAnsi="Arial Narrow" w:cs="Arial Narrow"/>
          <w:sz w:val="22"/>
          <w:szCs w:val="22"/>
          <w:lang w:val="en-GB"/>
        </w:rPr>
        <w:t xml:space="preserve">® is offering 5 Grand Challenge teacher placements, focusing on </w:t>
      </w:r>
      <w:r w:rsidRPr="17850625">
        <w:rPr>
          <w:rFonts w:ascii="Arial Narrow" w:eastAsia="Arial Narrow" w:hAnsi="Arial Narrow" w:cs="Arial Narrow"/>
          <w:b/>
          <w:bCs/>
          <w:sz w:val="22"/>
          <w:szCs w:val="22"/>
          <w:lang w:val="en-GB"/>
        </w:rPr>
        <w:t>Artificial Intelligence</w:t>
      </w:r>
      <w:r w:rsidRPr="17850625">
        <w:rPr>
          <w:rFonts w:ascii="Arial Narrow" w:eastAsia="Arial Narrow" w:hAnsi="Arial Narrow" w:cs="Arial Narrow"/>
          <w:sz w:val="22"/>
          <w:szCs w:val="22"/>
          <w:lang w:val="en-GB"/>
        </w:rPr>
        <w:t>.</w:t>
      </w:r>
    </w:p>
    <w:p w14:paraId="2937EC76" w14:textId="1D86FC4F" w:rsidR="17850625" w:rsidRDefault="17850625" w:rsidP="17850625">
      <w:pPr>
        <w:spacing w:after="200" w:line="276" w:lineRule="auto"/>
        <w:rPr>
          <w:rFonts w:ascii="Arial Narrow" w:eastAsia="Arial Narrow" w:hAnsi="Arial Narrow" w:cs="Arial Narrow"/>
          <w:sz w:val="22"/>
          <w:szCs w:val="22"/>
          <w:lang w:val="en-GB"/>
        </w:rPr>
      </w:pPr>
    </w:p>
    <w:p w14:paraId="19908742" w14:textId="369B1A14" w:rsidR="7AF687E0" w:rsidRDefault="52887DF2" w:rsidP="7AF687E0">
      <w:pPr>
        <w:spacing w:after="200" w:line="276" w:lineRule="auto"/>
      </w:pPr>
      <w:r w:rsidRPr="52887DF2">
        <w:rPr>
          <w:rFonts w:ascii="Arial Narrow" w:eastAsia="Arial Narrow" w:hAnsi="Arial Narrow" w:cs="Arial Narrow"/>
          <w:sz w:val="22"/>
          <w:szCs w:val="22"/>
          <w:lang w:val="en-GB"/>
        </w:rPr>
        <w:t xml:space="preserve">Merck BioReliance testing services is the leading provider of contract services in the biopharmaceutical industry, supporting every phase of the testing, development and manufacturing process. Clients include producers of traditional pharmaceuticals, medical devices, chemicals and other products, as well as biopharmaceuticals. Merck BioReliance are a leading GMP and GLP testing services provider for the development of therapeutics. </w:t>
      </w:r>
    </w:p>
    <w:p w14:paraId="21F26098" w14:textId="4F8475C7" w:rsidR="7AF687E0" w:rsidRDefault="17850625" w:rsidP="17850625">
      <w:pPr>
        <w:spacing w:after="200" w:line="276" w:lineRule="auto"/>
        <w:rPr>
          <w:rFonts w:ascii="Arial" w:eastAsia="Arial" w:hAnsi="Arial" w:cs="Arial"/>
          <w:b/>
          <w:bCs/>
          <w:sz w:val="22"/>
          <w:szCs w:val="22"/>
          <w:lang w:val="en-GB"/>
        </w:rPr>
      </w:pPr>
      <w:r w:rsidRPr="17850625">
        <w:rPr>
          <w:rFonts w:ascii="Arial Narrow" w:eastAsia="Arial Narrow" w:hAnsi="Arial Narrow" w:cs="Arial Narrow"/>
          <w:sz w:val="22"/>
          <w:szCs w:val="22"/>
          <w:lang w:val="en-GB"/>
        </w:rPr>
        <w:t xml:space="preserve">The company is continually expanding and pushing the boundaries of the use of Artificial Intelligence and Automation to progress the world of biosafety testing. On a daily basis they generate multiple large data sets to assess bacterial and viral contaminants. They are introducing and brancing into Next Generation Sequencing platform to assess Virus characterization, Adventitious agent detection and Genetic stability of host genomes. </w:t>
      </w:r>
      <w:r w:rsidRPr="17850625">
        <w:rPr>
          <w:rFonts w:ascii="Arial Narrow" w:eastAsia="Arial Narrow" w:hAnsi="Arial Narrow" w:cs="Arial Narrow"/>
          <w:sz w:val="22"/>
          <w:szCs w:val="22"/>
          <w:lang w:val="en-GB"/>
        </w:rPr>
        <w:lastRenderedPageBreak/>
        <w:t xml:space="preserve">Studies of this nature use automated robotics from sample extraction, plate set-up and cloud systems for data analysis. </w:t>
      </w:r>
    </w:p>
    <w:p w14:paraId="68C56468" w14:textId="43C116BD" w:rsidR="7AF687E0" w:rsidRDefault="17850625" w:rsidP="17850625">
      <w:pPr>
        <w:spacing w:after="200" w:line="276" w:lineRule="auto"/>
        <w:rPr>
          <w:rFonts w:ascii="Arial Narrow" w:eastAsia="Arial Narrow" w:hAnsi="Arial Narrow" w:cs="Arial Narrow"/>
          <w:sz w:val="22"/>
          <w:szCs w:val="22"/>
          <w:lang w:val="en-GB"/>
        </w:rPr>
      </w:pPr>
      <w:r w:rsidRPr="17850625">
        <w:rPr>
          <w:rFonts w:ascii="Arial Narrow" w:eastAsia="Arial Narrow" w:hAnsi="Arial Narrow" w:cs="Arial Narrow"/>
          <w:sz w:val="22"/>
          <w:szCs w:val="22"/>
          <w:lang w:val="en-GB"/>
        </w:rPr>
        <w:t xml:space="preserve">Grand Challenge participants will be given practical insights into how Merck BioReliance analyse and process data from medicines, patients and gene products. They will have the opportunity to carry out practical activities including aseptic technique training, robotic systems and data analysis. Participants will also be given a complete overview of a Contract Research Service Company and laboratory tours of Glasgow and Stirling facilities with opportunities to review and use robotic systems. </w:t>
      </w:r>
    </w:p>
    <w:p w14:paraId="65CA0F59" w14:textId="264B6A2E" w:rsidR="7AF687E0" w:rsidRDefault="7AF687E0" w:rsidP="52887DF2">
      <w:pPr>
        <w:spacing w:after="200" w:line="276" w:lineRule="auto"/>
        <w:rPr>
          <w:rFonts w:ascii="Arial Narrow" w:eastAsia="Arial Narrow" w:hAnsi="Arial Narrow" w:cs="Arial Narrow"/>
          <w:sz w:val="22"/>
          <w:szCs w:val="22"/>
          <w:lang w:val="en-GB"/>
        </w:rPr>
      </w:pPr>
    </w:p>
    <w:p w14:paraId="5908B878" w14:textId="37E73391" w:rsidR="7AF687E0" w:rsidRDefault="7AF687E0" w:rsidP="52887DF2">
      <w:pPr>
        <w:spacing w:after="200" w:line="276" w:lineRule="auto"/>
        <w:rPr>
          <w:rFonts w:ascii="Arial Narrow" w:eastAsia="Arial Narrow" w:hAnsi="Arial Narrow" w:cs="Arial Narrow"/>
          <w:sz w:val="22"/>
          <w:szCs w:val="22"/>
          <w:lang w:val="en-GB"/>
        </w:rPr>
      </w:pPr>
    </w:p>
    <w:p w14:paraId="6E6BD190" w14:textId="25407355" w:rsidR="7AF687E0" w:rsidRDefault="7AF687E0" w:rsidP="52887DF2">
      <w:pPr>
        <w:spacing w:after="200" w:line="276" w:lineRule="auto"/>
        <w:rPr>
          <w:rFonts w:ascii="Arial Narrow" w:eastAsia="Arial Narrow" w:hAnsi="Arial Narrow" w:cs="Arial Narrow"/>
          <w:sz w:val="22"/>
          <w:szCs w:val="22"/>
          <w:lang w:val="en-GB"/>
        </w:rPr>
      </w:pPr>
    </w:p>
    <w:p w14:paraId="3FAB2D3F" w14:textId="2EFD9B1F" w:rsidR="7AF687E0" w:rsidRDefault="52887DF2" w:rsidP="52887DF2">
      <w:pPr>
        <w:spacing w:after="200" w:line="276" w:lineRule="auto"/>
        <w:rPr>
          <w:rFonts w:ascii="Arial Narrow" w:eastAsia="Arial Narrow" w:hAnsi="Arial Narrow" w:cs="Arial Narrow"/>
          <w:sz w:val="22"/>
          <w:szCs w:val="22"/>
          <w:lang w:val="en-GB"/>
        </w:rPr>
      </w:pPr>
      <w:r w:rsidRPr="52887DF2">
        <w:rPr>
          <w:rFonts w:ascii="Arial Narrow" w:eastAsia="Arial Narrow" w:hAnsi="Arial Narrow" w:cs="Arial Narrow"/>
          <w:sz w:val="22"/>
          <w:szCs w:val="22"/>
          <w:lang w:val="en-GB"/>
        </w:rPr>
        <w:t>Timetable</w:t>
      </w:r>
    </w:p>
    <w:p w14:paraId="406FB4A2" w14:textId="10991E07" w:rsidR="7AF687E0" w:rsidRDefault="7AF687E0" w:rsidP="52887DF2">
      <w:pPr>
        <w:spacing w:after="200" w:line="276" w:lineRule="auto"/>
        <w:rPr>
          <w:rFonts w:ascii="Arial Narrow" w:eastAsia="Arial Narrow" w:hAnsi="Arial Narrow" w:cs="Arial Narrow"/>
          <w:sz w:val="22"/>
          <w:szCs w:val="22"/>
          <w:lang w:val="en-GB"/>
        </w:rPr>
      </w:pPr>
    </w:p>
    <w:tbl>
      <w:tblPr>
        <w:tblStyle w:val="TableGrid"/>
        <w:tblW w:w="9122" w:type="dxa"/>
        <w:tblLayout w:type="fixed"/>
        <w:tblLook w:val="06A0" w:firstRow="1" w:lastRow="0" w:firstColumn="1" w:lastColumn="0" w:noHBand="1" w:noVBand="1"/>
      </w:tblPr>
      <w:tblGrid>
        <w:gridCol w:w="1560"/>
        <w:gridCol w:w="1245"/>
        <w:gridCol w:w="1315"/>
        <w:gridCol w:w="5002"/>
      </w:tblGrid>
      <w:tr w:rsidR="00443482" w14:paraId="408C6E19" w14:textId="51D6A988" w:rsidTr="4EEB5DE3">
        <w:trPr>
          <w:trHeight w:val="756"/>
        </w:trPr>
        <w:tc>
          <w:tcPr>
            <w:tcW w:w="1560" w:type="dxa"/>
          </w:tcPr>
          <w:p w14:paraId="2C0E7A26" w14:textId="45D47307" w:rsidR="00443482" w:rsidRDefault="17850625" w:rsidP="17850625">
            <w:pPr>
              <w:spacing w:after="200" w:line="276" w:lineRule="auto"/>
              <w:rPr>
                <w:rFonts w:ascii="Arial Narrow" w:eastAsia="Arial Narrow" w:hAnsi="Arial Narrow" w:cs="Arial Narrow"/>
                <w:sz w:val="22"/>
                <w:szCs w:val="22"/>
                <w:lang w:val="en-GB"/>
              </w:rPr>
            </w:pPr>
            <w:r w:rsidRPr="17850625">
              <w:rPr>
                <w:rFonts w:ascii="Arial Narrow" w:eastAsia="Arial Narrow" w:hAnsi="Arial Narrow" w:cs="Arial Narrow"/>
                <w:sz w:val="22"/>
                <w:szCs w:val="22"/>
                <w:lang w:val="en-GB"/>
              </w:rPr>
              <w:t>Scoping Meeting</w:t>
            </w:r>
          </w:p>
        </w:tc>
        <w:tc>
          <w:tcPr>
            <w:tcW w:w="1245" w:type="dxa"/>
          </w:tcPr>
          <w:p w14:paraId="069C1DB0" w14:textId="7C9B4CD6" w:rsidR="00443482" w:rsidRDefault="00443482" w:rsidP="52887DF2">
            <w:pPr>
              <w:rPr>
                <w:rFonts w:ascii="Arial Narrow" w:eastAsia="Arial Narrow" w:hAnsi="Arial Narrow" w:cs="Arial Narrow"/>
                <w:sz w:val="22"/>
                <w:szCs w:val="22"/>
                <w:lang w:val="en-GB"/>
              </w:rPr>
            </w:pPr>
            <w:r w:rsidRPr="52887DF2">
              <w:rPr>
                <w:rFonts w:ascii="Arial Narrow" w:eastAsia="Arial Narrow" w:hAnsi="Arial Narrow" w:cs="Arial Narrow"/>
                <w:sz w:val="22"/>
                <w:szCs w:val="22"/>
                <w:lang w:val="en-GB"/>
              </w:rPr>
              <w:t>16 May</w:t>
            </w:r>
          </w:p>
        </w:tc>
        <w:tc>
          <w:tcPr>
            <w:tcW w:w="1315" w:type="dxa"/>
          </w:tcPr>
          <w:p w14:paraId="538144BF" w14:textId="53976743" w:rsidR="00443482" w:rsidRDefault="4EEB5DE3" w:rsidP="52887DF2">
            <w:r w:rsidRPr="4EEB5DE3">
              <w:rPr>
                <w:rFonts w:ascii="Arial Narrow" w:eastAsia="Arial Narrow" w:hAnsi="Arial Narrow" w:cs="Arial Narrow"/>
                <w:sz w:val="22"/>
                <w:szCs w:val="22"/>
                <w:lang w:val="en-GB"/>
              </w:rPr>
              <w:t xml:space="preserve">4.00pm - 5.30pm </w:t>
            </w:r>
          </w:p>
        </w:tc>
        <w:tc>
          <w:tcPr>
            <w:tcW w:w="5002" w:type="dxa"/>
          </w:tcPr>
          <w:p w14:paraId="33329C33" w14:textId="4150BA1E" w:rsidR="00443482" w:rsidRPr="52887DF2" w:rsidRDefault="17850625" w:rsidP="17850625">
            <w:pPr>
              <w:rPr>
                <w:rFonts w:ascii="Arial Narrow" w:eastAsia="Arial Narrow" w:hAnsi="Arial Narrow" w:cs="Arial Narrow"/>
                <w:sz w:val="22"/>
                <w:szCs w:val="22"/>
                <w:lang w:val="en-GB"/>
              </w:rPr>
            </w:pPr>
            <w:r w:rsidRPr="17850625">
              <w:rPr>
                <w:rFonts w:ascii="Arial Narrow" w:eastAsia="Arial Narrow" w:hAnsi="Arial Narrow" w:cs="Arial Narrow"/>
                <w:sz w:val="22"/>
                <w:szCs w:val="22"/>
                <w:lang w:val="en-GB"/>
              </w:rPr>
              <w:t>Conference Call</w:t>
            </w:r>
          </w:p>
        </w:tc>
      </w:tr>
      <w:tr w:rsidR="00443482" w14:paraId="126BF15D" w14:textId="212D91B3" w:rsidTr="4EEB5DE3">
        <w:trPr>
          <w:trHeight w:val="262"/>
        </w:trPr>
        <w:tc>
          <w:tcPr>
            <w:tcW w:w="1560" w:type="dxa"/>
          </w:tcPr>
          <w:p w14:paraId="43FECBAE" w14:textId="62CDAEED" w:rsidR="00443482" w:rsidRDefault="17850625" w:rsidP="17850625">
            <w:pPr>
              <w:rPr>
                <w:rFonts w:ascii="Arial Narrow" w:eastAsia="Arial Narrow" w:hAnsi="Arial Narrow" w:cs="Arial Narrow"/>
                <w:sz w:val="22"/>
                <w:szCs w:val="22"/>
                <w:lang w:val="en-GB"/>
              </w:rPr>
            </w:pPr>
            <w:r w:rsidRPr="17850625">
              <w:rPr>
                <w:rFonts w:ascii="Arial Narrow" w:eastAsia="Arial Narrow" w:hAnsi="Arial Narrow" w:cs="Arial Narrow"/>
                <w:sz w:val="22"/>
                <w:szCs w:val="22"/>
                <w:lang w:val="en-GB"/>
              </w:rPr>
              <w:t>Placement</w:t>
            </w:r>
          </w:p>
        </w:tc>
        <w:tc>
          <w:tcPr>
            <w:tcW w:w="1245" w:type="dxa"/>
          </w:tcPr>
          <w:p w14:paraId="65A5E511" w14:textId="02966CD8" w:rsidR="00443482" w:rsidRDefault="00443482" w:rsidP="52887DF2">
            <w:pPr>
              <w:rPr>
                <w:rFonts w:ascii="Arial Narrow" w:eastAsia="Arial Narrow" w:hAnsi="Arial Narrow" w:cs="Arial Narrow"/>
                <w:sz w:val="22"/>
                <w:szCs w:val="22"/>
                <w:lang w:val="en-GB"/>
              </w:rPr>
            </w:pPr>
            <w:r w:rsidRPr="52887DF2">
              <w:rPr>
                <w:rFonts w:ascii="Arial Narrow" w:eastAsia="Arial Narrow" w:hAnsi="Arial Narrow" w:cs="Arial Narrow"/>
                <w:sz w:val="22"/>
                <w:szCs w:val="22"/>
                <w:lang w:val="en-GB"/>
              </w:rPr>
              <w:t>28 &amp; 29 May</w:t>
            </w:r>
          </w:p>
        </w:tc>
        <w:tc>
          <w:tcPr>
            <w:tcW w:w="1315" w:type="dxa"/>
          </w:tcPr>
          <w:p w14:paraId="46F1AE37" w14:textId="44C35924" w:rsidR="00443482" w:rsidRDefault="17850625" w:rsidP="17850625">
            <w:pPr>
              <w:rPr>
                <w:rFonts w:ascii="Arial Narrow" w:eastAsia="Arial Narrow" w:hAnsi="Arial Narrow" w:cs="Arial Narrow"/>
                <w:sz w:val="22"/>
                <w:szCs w:val="22"/>
                <w:lang w:val="en-GB"/>
              </w:rPr>
            </w:pPr>
            <w:r w:rsidRPr="17850625">
              <w:rPr>
                <w:rFonts w:ascii="Arial Narrow" w:eastAsia="Arial Narrow" w:hAnsi="Arial Narrow" w:cs="Arial Narrow"/>
                <w:sz w:val="22"/>
                <w:szCs w:val="22"/>
                <w:lang w:val="en-GB"/>
              </w:rPr>
              <w:t>9.30am - 4.30pm</w:t>
            </w:r>
          </w:p>
        </w:tc>
        <w:tc>
          <w:tcPr>
            <w:tcW w:w="5002" w:type="dxa"/>
          </w:tcPr>
          <w:p w14:paraId="1F349E71" w14:textId="7813BDDA" w:rsidR="00443482" w:rsidRDefault="17850625" w:rsidP="17850625">
            <w:r w:rsidRPr="17850625">
              <w:rPr>
                <w:rFonts w:ascii="Arial Narrow" w:eastAsia="Arial Narrow" w:hAnsi="Arial Narrow" w:cs="Arial Narrow"/>
                <w:sz w:val="22"/>
                <w:szCs w:val="22"/>
                <w:lang w:val="en-GB"/>
              </w:rPr>
              <w:t xml:space="preserve">Merck BioReliance, </w:t>
            </w:r>
          </w:p>
          <w:p w14:paraId="6C3B50F3" w14:textId="219FBBF4" w:rsidR="00443482" w:rsidRDefault="17850625" w:rsidP="17850625">
            <w:pPr>
              <w:rPr>
                <w:rFonts w:ascii="Arial Narrow" w:eastAsia="Arial Narrow" w:hAnsi="Arial Narrow" w:cs="Arial Narrow"/>
                <w:sz w:val="22"/>
                <w:szCs w:val="22"/>
                <w:lang w:val="en-GB"/>
              </w:rPr>
            </w:pPr>
            <w:r w:rsidRPr="17850625">
              <w:rPr>
                <w:rFonts w:ascii="Arial Narrow" w:eastAsia="Arial Narrow" w:hAnsi="Arial Narrow" w:cs="Arial Narrow"/>
                <w:sz w:val="22"/>
                <w:szCs w:val="22"/>
                <w:lang w:val="en-GB"/>
              </w:rPr>
              <w:t>West of Scotland Science Park, G20 OXA</w:t>
            </w:r>
          </w:p>
        </w:tc>
      </w:tr>
      <w:tr w:rsidR="00443482" w14:paraId="3C6EAA5C" w14:textId="430F04AD" w:rsidTr="4EEB5DE3">
        <w:trPr>
          <w:trHeight w:val="247"/>
        </w:trPr>
        <w:tc>
          <w:tcPr>
            <w:tcW w:w="1560" w:type="dxa"/>
          </w:tcPr>
          <w:p w14:paraId="618A3114" w14:textId="237666F2" w:rsidR="00443482" w:rsidRDefault="17850625" w:rsidP="17850625">
            <w:pPr>
              <w:rPr>
                <w:rFonts w:ascii="Arial Narrow" w:eastAsia="Arial Narrow" w:hAnsi="Arial Narrow" w:cs="Arial Narrow"/>
                <w:sz w:val="22"/>
                <w:szCs w:val="22"/>
                <w:lang w:val="en-GB"/>
              </w:rPr>
            </w:pPr>
            <w:r w:rsidRPr="17850625">
              <w:rPr>
                <w:rFonts w:ascii="Arial Narrow" w:eastAsia="Arial Narrow" w:hAnsi="Arial Narrow" w:cs="Arial Narrow"/>
                <w:sz w:val="22"/>
                <w:szCs w:val="22"/>
                <w:lang w:val="en-GB"/>
              </w:rPr>
              <w:t>Placement</w:t>
            </w:r>
          </w:p>
        </w:tc>
        <w:tc>
          <w:tcPr>
            <w:tcW w:w="1245" w:type="dxa"/>
          </w:tcPr>
          <w:p w14:paraId="21AAA1BD" w14:textId="3EEB970C" w:rsidR="00443482" w:rsidRDefault="17850625" w:rsidP="17850625">
            <w:pPr>
              <w:rPr>
                <w:rFonts w:ascii="Arial Narrow" w:eastAsia="Arial Narrow" w:hAnsi="Arial Narrow" w:cs="Arial Narrow"/>
                <w:sz w:val="22"/>
                <w:szCs w:val="22"/>
                <w:lang w:val="en-GB"/>
              </w:rPr>
            </w:pPr>
            <w:r w:rsidRPr="17850625">
              <w:rPr>
                <w:rFonts w:ascii="Arial Narrow" w:eastAsia="Arial Narrow" w:hAnsi="Arial Narrow" w:cs="Arial Narrow"/>
                <w:sz w:val="22"/>
                <w:szCs w:val="22"/>
                <w:lang w:val="en-GB"/>
              </w:rPr>
              <w:t>30 May</w:t>
            </w:r>
          </w:p>
        </w:tc>
        <w:tc>
          <w:tcPr>
            <w:tcW w:w="1315" w:type="dxa"/>
          </w:tcPr>
          <w:p w14:paraId="46B3881F" w14:textId="3FB4FFC7" w:rsidR="00443482" w:rsidRDefault="4EEB5DE3" w:rsidP="4EEB5DE3">
            <w:pPr>
              <w:rPr>
                <w:rFonts w:ascii="Arial Narrow" w:eastAsia="Arial Narrow" w:hAnsi="Arial Narrow" w:cs="Arial Narrow"/>
                <w:sz w:val="22"/>
                <w:szCs w:val="22"/>
                <w:lang w:val="en-GB"/>
              </w:rPr>
            </w:pPr>
            <w:r w:rsidRPr="4EEB5DE3">
              <w:rPr>
                <w:rFonts w:ascii="Arial Narrow" w:eastAsia="Arial Narrow" w:hAnsi="Arial Narrow" w:cs="Arial Narrow"/>
                <w:sz w:val="22"/>
                <w:szCs w:val="22"/>
                <w:lang w:val="en-GB"/>
              </w:rPr>
              <w:t>9.30am - 4.30pm</w:t>
            </w:r>
          </w:p>
        </w:tc>
        <w:tc>
          <w:tcPr>
            <w:tcW w:w="5002" w:type="dxa"/>
          </w:tcPr>
          <w:p w14:paraId="1276F74A" w14:textId="3547889A" w:rsidR="00443482" w:rsidRDefault="17850625" w:rsidP="17850625">
            <w:r w:rsidRPr="17850625">
              <w:rPr>
                <w:rFonts w:ascii="Arial Narrow" w:eastAsia="Arial Narrow" w:hAnsi="Arial Narrow" w:cs="Arial Narrow"/>
                <w:sz w:val="22"/>
                <w:szCs w:val="22"/>
                <w:lang w:val="en-GB"/>
              </w:rPr>
              <w:t xml:space="preserve">Merck BioReliance, </w:t>
            </w:r>
          </w:p>
          <w:p w14:paraId="32334BEC" w14:textId="5F723947" w:rsidR="00443482" w:rsidRDefault="17850625" w:rsidP="17850625">
            <w:pPr>
              <w:rPr>
                <w:rFonts w:ascii="Arial Narrow" w:eastAsia="Arial Narrow" w:hAnsi="Arial Narrow" w:cs="Arial Narrow"/>
                <w:sz w:val="22"/>
                <w:szCs w:val="22"/>
                <w:lang w:val="en-GB"/>
              </w:rPr>
            </w:pPr>
            <w:r w:rsidRPr="17850625">
              <w:rPr>
                <w:rFonts w:ascii="Arial Narrow" w:eastAsia="Arial Narrow" w:hAnsi="Arial Narrow" w:cs="Arial Narrow"/>
                <w:sz w:val="22"/>
                <w:szCs w:val="22"/>
                <w:lang w:val="en-GB"/>
              </w:rPr>
              <w:t>Innovation Park, Stirling, FK9 4NF</w:t>
            </w:r>
          </w:p>
        </w:tc>
      </w:tr>
      <w:tr w:rsidR="00443482" w14:paraId="5FBF65A5" w14:textId="6CA6EFBF" w:rsidTr="4EEB5DE3">
        <w:trPr>
          <w:trHeight w:val="262"/>
        </w:trPr>
        <w:tc>
          <w:tcPr>
            <w:tcW w:w="1560" w:type="dxa"/>
          </w:tcPr>
          <w:p w14:paraId="3B2E42CC" w14:textId="1C712813" w:rsidR="00443482" w:rsidRDefault="17850625" w:rsidP="17850625">
            <w:pPr>
              <w:rPr>
                <w:rFonts w:ascii="Arial Narrow" w:eastAsia="Arial Narrow" w:hAnsi="Arial Narrow" w:cs="Arial Narrow"/>
                <w:sz w:val="22"/>
                <w:szCs w:val="22"/>
                <w:lang w:val="en-GB"/>
              </w:rPr>
            </w:pPr>
            <w:r w:rsidRPr="17850625">
              <w:rPr>
                <w:rFonts w:ascii="Arial Narrow" w:eastAsia="Arial Narrow" w:hAnsi="Arial Narrow" w:cs="Arial Narrow"/>
                <w:sz w:val="22"/>
                <w:szCs w:val="22"/>
                <w:lang w:val="en-GB"/>
              </w:rPr>
              <w:t>Recall</w:t>
            </w:r>
          </w:p>
        </w:tc>
        <w:tc>
          <w:tcPr>
            <w:tcW w:w="1245" w:type="dxa"/>
          </w:tcPr>
          <w:p w14:paraId="4077E661" w14:textId="6CCCE5F5" w:rsidR="00443482" w:rsidRDefault="17850625" w:rsidP="17850625">
            <w:pPr>
              <w:rPr>
                <w:rFonts w:ascii="Arial Narrow" w:eastAsia="Arial Narrow" w:hAnsi="Arial Narrow" w:cs="Arial Narrow"/>
                <w:sz w:val="22"/>
                <w:szCs w:val="22"/>
                <w:lang w:val="en-GB"/>
              </w:rPr>
            </w:pPr>
            <w:r w:rsidRPr="17850625">
              <w:rPr>
                <w:rFonts w:ascii="Arial Narrow" w:eastAsia="Arial Narrow" w:hAnsi="Arial Narrow" w:cs="Arial Narrow"/>
                <w:sz w:val="22"/>
                <w:szCs w:val="22"/>
                <w:lang w:val="en-GB"/>
              </w:rPr>
              <w:t>Tbc Sept</w:t>
            </w:r>
          </w:p>
        </w:tc>
        <w:tc>
          <w:tcPr>
            <w:tcW w:w="1315" w:type="dxa"/>
          </w:tcPr>
          <w:p w14:paraId="43DEB971" w14:textId="110A2701" w:rsidR="00443482" w:rsidRDefault="4EEB5DE3" w:rsidP="4EEB5DE3">
            <w:pPr>
              <w:rPr>
                <w:rFonts w:ascii="Arial Narrow" w:eastAsia="Arial Narrow" w:hAnsi="Arial Narrow" w:cs="Arial Narrow"/>
                <w:sz w:val="22"/>
                <w:szCs w:val="22"/>
                <w:lang w:val="en-GB"/>
              </w:rPr>
            </w:pPr>
            <w:r w:rsidRPr="4EEB5DE3">
              <w:rPr>
                <w:rFonts w:ascii="Arial Narrow" w:eastAsia="Arial Narrow" w:hAnsi="Arial Narrow" w:cs="Arial Narrow"/>
                <w:sz w:val="22"/>
                <w:szCs w:val="22"/>
                <w:lang w:val="en-GB"/>
              </w:rPr>
              <w:t>9.30am - 4.30pm</w:t>
            </w:r>
          </w:p>
        </w:tc>
        <w:tc>
          <w:tcPr>
            <w:tcW w:w="5002" w:type="dxa"/>
          </w:tcPr>
          <w:p w14:paraId="6CD5EB83" w14:textId="25C5FC19" w:rsidR="00443482" w:rsidRDefault="17850625" w:rsidP="17850625">
            <w:pPr>
              <w:rPr>
                <w:rFonts w:ascii="Arial Narrow" w:eastAsia="Arial Narrow" w:hAnsi="Arial Narrow" w:cs="Arial Narrow"/>
                <w:sz w:val="22"/>
                <w:szCs w:val="22"/>
                <w:lang w:val="en-GB"/>
              </w:rPr>
            </w:pPr>
            <w:r w:rsidRPr="17850625">
              <w:rPr>
                <w:rFonts w:ascii="Arial Narrow" w:eastAsia="Arial Narrow" w:hAnsi="Arial Narrow" w:cs="Arial Narrow"/>
                <w:sz w:val="22"/>
                <w:szCs w:val="22"/>
                <w:lang w:val="en-GB"/>
              </w:rPr>
              <w:t xml:space="preserve">SSERC, </w:t>
            </w:r>
          </w:p>
          <w:p w14:paraId="5B486720" w14:textId="147E2483" w:rsidR="00443482" w:rsidRDefault="17850625" w:rsidP="17850625">
            <w:pPr>
              <w:rPr>
                <w:rFonts w:ascii="Arial Narrow" w:eastAsia="Arial Narrow" w:hAnsi="Arial Narrow" w:cs="Arial Narrow"/>
                <w:sz w:val="22"/>
                <w:szCs w:val="22"/>
                <w:lang w:val="en-GB"/>
              </w:rPr>
            </w:pPr>
            <w:r w:rsidRPr="17850625">
              <w:rPr>
                <w:rFonts w:ascii="Arial Narrow" w:eastAsia="Arial Narrow" w:hAnsi="Arial Narrow" w:cs="Arial Narrow"/>
                <w:sz w:val="22"/>
                <w:szCs w:val="22"/>
                <w:lang w:val="en-GB"/>
              </w:rPr>
              <w:t>Dunfermline, KY11 8UU</w:t>
            </w:r>
          </w:p>
        </w:tc>
      </w:tr>
    </w:tbl>
    <w:p w14:paraId="31FD54F1" w14:textId="5B2B8088" w:rsidR="52887DF2" w:rsidRDefault="52887DF2" w:rsidP="52887DF2">
      <w:pPr>
        <w:spacing w:after="200" w:line="276" w:lineRule="auto"/>
      </w:pPr>
    </w:p>
    <w:p w14:paraId="2E9C93B9" w14:textId="04785994" w:rsidR="52887DF2" w:rsidRDefault="17850625" w:rsidP="17850625">
      <w:pPr>
        <w:spacing w:after="200" w:line="276" w:lineRule="auto"/>
        <w:rPr>
          <w:rFonts w:ascii="Arial Narrow" w:eastAsia="Arial Narrow" w:hAnsi="Arial Narrow" w:cs="Arial Narrow"/>
          <w:sz w:val="22"/>
          <w:szCs w:val="22"/>
          <w:lang w:val="en-GB"/>
        </w:rPr>
      </w:pPr>
      <w:r w:rsidRPr="17850625">
        <w:rPr>
          <w:rFonts w:ascii="Arial Narrow" w:eastAsia="Arial Narrow" w:hAnsi="Arial Narrow" w:cs="Arial Narrow"/>
          <w:sz w:val="22"/>
          <w:szCs w:val="22"/>
          <w:lang w:val="en-GB"/>
        </w:rPr>
        <w:t>Bursary: Teachers will receive funding of £1000 on successful completion of all parts of the placement.</w:t>
      </w:r>
    </w:p>
    <w:p w14:paraId="4B4D8AF5" w14:textId="0DDAABDD" w:rsidR="52887DF2" w:rsidRDefault="52887DF2" w:rsidP="52887DF2">
      <w:pPr>
        <w:spacing w:after="200" w:line="276" w:lineRule="auto"/>
        <w:rPr>
          <w:rFonts w:ascii="Arial Narrow" w:eastAsia="Arial Narrow" w:hAnsi="Arial Narrow" w:cs="Arial Narrow"/>
          <w:sz w:val="22"/>
          <w:szCs w:val="22"/>
          <w:lang w:val="en-GB"/>
        </w:rPr>
      </w:pPr>
    </w:p>
    <w:p w14:paraId="198885E6" w14:textId="0378D648" w:rsidR="52887DF2" w:rsidRDefault="4EEB5DE3" w:rsidP="4EEB5DE3">
      <w:pPr>
        <w:spacing w:after="200" w:line="276" w:lineRule="auto"/>
        <w:rPr>
          <w:rFonts w:ascii="Arial Narrow" w:eastAsia="Arial Narrow" w:hAnsi="Arial Narrow" w:cs="Arial Narrow"/>
          <w:sz w:val="22"/>
          <w:szCs w:val="22"/>
          <w:lang w:val="en-GB"/>
        </w:rPr>
      </w:pPr>
      <w:r w:rsidRPr="4EEB5DE3">
        <w:rPr>
          <w:rFonts w:ascii="Arial Narrow" w:eastAsia="Arial Narrow" w:hAnsi="Arial Narrow" w:cs="Arial Narrow"/>
          <w:sz w:val="22"/>
          <w:szCs w:val="22"/>
          <w:lang w:val="en-GB"/>
        </w:rPr>
        <w:t xml:space="preserve">This opportunity is open to teachers in state-funded secondary schools. If interested, please email </w:t>
      </w:r>
      <w:hyperlink r:id="rId11">
        <w:r w:rsidRPr="4EEB5DE3">
          <w:rPr>
            <w:rStyle w:val="Hyperlink"/>
            <w:rFonts w:ascii="Arial Narrow" w:eastAsia="Arial Narrow" w:hAnsi="Arial Narrow" w:cs="Arial Narrow"/>
            <w:sz w:val="22"/>
            <w:szCs w:val="22"/>
            <w:lang w:val="en-GB"/>
          </w:rPr>
          <w:t>helen.winton@sserc.scot</w:t>
        </w:r>
      </w:hyperlink>
      <w:r w:rsidRPr="4EEB5DE3">
        <w:rPr>
          <w:rFonts w:ascii="Arial Narrow" w:eastAsia="Arial Narrow" w:hAnsi="Arial Narrow" w:cs="Arial Narrow"/>
          <w:sz w:val="22"/>
          <w:szCs w:val="22"/>
          <w:lang w:val="en-GB"/>
        </w:rPr>
        <w:t xml:space="preserve"> for an application form.</w:t>
      </w:r>
    </w:p>
    <w:p w14:paraId="7A13B276" w14:textId="0741B632" w:rsidR="52887DF2" w:rsidRDefault="52887DF2" w:rsidP="52887DF2">
      <w:pPr>
        <w:spacing w:after="200" w:line="276" w:lineRule="auto"/>
        <w:rPr>
          <w:rFonts w:ascii="Arial Narrow" w:eastAsia="Arial Narrow" w:hAnsi="Arial Narrow" w:cs="Arial Narrow"/>
          <w:sz w:val="22"/>
          <w:szCs w:val="22"/>
          <w:lang w:val="en-GB"/>
        </w:rPr>
      </w:pPr>
    </w:p>
    <w:p w14:paraId="05001196" w14:textId="04FC2297" w:rsidR="52887DF2" w:rsidRDefault="52887DF2" w:rsidP="52887DF2">
      <w:pPr>
        <w:spacing w:after="200" w:line="276" w:lineRule="auto"/>
        <w:rPr>
          <w:rFonts w:ascii="Arial Narrow" w:eastAsia="Arial Narrow" w:hAnsi="Arial Narrow" w:cs="Arial Narrow"/>
          <w:sz w:val="22"/>
          <w:szCs w:val="22"/>
          <w:lang w:val="en-GB"/>
        </w:rPr>
      </w:pPr>
    </w:p>
    <w:p w14:paraId="403379E7" w14:textId="01CB253B" w:rsidR="7AF687E0" w:rsidRDefault="7AF687E0" w:rsidP="7AF687E0">
      <w:pPr>
        <w:spacing w:after="200" w:line="276" w:lineRule="auto"/>
        <w:rPr>
          <w:rFonts w:ascii="Arial Narrow" w:eastAsia="Arial Narrow" w:hAnsi="Arial Narrow" w:cs="Arial Narrow"/>
          <w:sz w:val="22"/>
          <w:szCs w:val="22"/>
          <w:lang w:val="en-GB"/>
        </w:rPr>
      </w:pPr>
    </w:p>
    <w:p w14:paraId="19E2B25B" w14:textId="451E1816" w:rsidR="7AF687E0" w:rsidRDefault="7AF687E0" w:rsidP="7AF687E0"/>
    <w:sectPr w:rsidR="7AF687E0" w:rsidSect="00C64CDA">
      <w:footerReference w:type="default" r:id="rId12"/>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7823C" w14:textId="77777777" w:rsidR="00894212" w:rsidRDefault="00894212">
      <w:r>
        <w:separator/>
      </w:r>
    </w:p>
    <w:p w14:paraId="2AFC1B01" w14:textId="77777777" w:rsidR="00894212" w:rsidRDefault="00894212"/>
  </w:endnote>
  <w:endnote w:type="continuationSeparator" w:id="0">
    <w:p w14:paraId="5EC27130" w14:textId="77777777" w:rsidR="00894212" w:rsidRDefault="00894212">
      <w:r>
        <w:continuationSeparator/>
      </w:r>
    </w:p>
    <w:p w14:paraId="647D1521" w14:textId="77777777" w:rsidR="00894212" w:rsidRDefault="00894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C093" w14:textId="67C9A348" w:rsidR="00447041" w:rsidRDefault="00D03AC1">
    <w:pPr>
      <w:pStyle w:val="Footer"/>
    </w:pPr>
    <w:r>
      <w:rPr>
        <w:lang w:val="en-GB" w:bidi="en-GB"/>
      </w:rPr>
      <w:fldChar w:fldCharType="begin"/>
    </w:r>
    <w:r>
      <w:rPr>
        <w:lang w:val="en-GB" w:bidi="en-GB"/>
      </w:rPr>
      <w:instrText xml:space="preserve"> PAGE   \* MERGEFORMAT </w:instrText>
    </w:r>
    <w:r>
      <w:rPr>
        <w:lang w:val="en-GB" w:bidi="en-GB"/>
      </w:rPr>
      <w:fldChar w:fldCharType="separate"/>
    </w:r>
    <w:r w:rsidR="008A667E">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C723D" w14:textId="77777777" w:rsidR="00894212" w:rsidRDefault="00894212">
      <w:r>
        <w:separator/>
      </w:r>
    </w:p>
    <w:p w14:paraId="67A77B54" w14:textId="77777777" w:rsidR="00894212" w:rsidRDefault="00894212"/>
  </w:footnote>
  <w:footnote w:type="continuationSeparator" w:id="0">
    <w:p w14:paraId="0B06CC8A" w14:textId="77777777" w:rsidR="00894212" w:rsidRDefault="00894212">
      <w:r>
        <w:continuationSeparator/>
      </w:r>
    </w:p>
    <w:p w14:paraId="1EE181CF" w14:textId="77777777" w:rsidR="00894212" w:rsidRDefault="008942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72CAE"/>
    <w:multiLevelType w:val="hybridMultilevel"/>
    <w:tmpl w:val="A45A85CA"/>
    <w:lvl w:ilvl="0" w:tplc="11D4565A">
      <w:start w:val="1"/>
      <w:numFmt w:val="decimal"/>
      <w:lvlText w:val="%1."/>
      <w:lvlJc w:val="left"/>
      <w:pPr>
        <w:ind w:left="720" w:hanging="360"/>
      </w:pPr>
    </w:lvl>
    <w:lvl w:ilvl="1" w:tplc="182EE8CC">
      <w:start w:val="1"/>
      <w:numFmt w:val="lowerLetter"/>
      <w:lvlText w:val="%2."/>
      <w:lvlJc w:val="left"/>
      <w:pPr>
        <w:ind w:left="1440" w:hanging="360"/>
      </w:pPr>
    </w:lvl>
    <w:lvl w:ilvl="2" w:tplc="5CFEE6E6">
      <w:start w:val="1"/>
      <w:numFmt w:val="lowerRoman"/>
      <w:lvlText w:val="%3."/>
      <w:lvlJc w:val="right"/>
      <w:pPr>
        <w:ind w:left="2160" w:hanging="180"/>
      </w:pPr>
    </w:lvl>
    <w:lvl w:ilvl="3" w:tplc="BFEEA50C">
      <w:start w:val="1"/>
      <w:numFmt w:val="decimal"/>
      <w:lvlText w:val="%4."/>
      <w:lvlJc w:val="left"/>
      <w:pPr>
        <w:ind w:left="2880" w:hanging="360"/>
      </w:pPr>
    </w:lvl>
    <w:lvl w:ilvl="4" w:tplc="2A9AAAF2">
      <w:start w:val="1"/>
      <w:numFmt w:val="lowerLetter"/>
      <w:lvlText w:val="%5."/>
      <w:lvlJc w:val="left"/>
      <w:pPr>
        <w:ind w:left="3600" w:hanging="360"/>
      </w:pPr>
    </w:lvl>
    <w:lvl w:ilvl="5" w:tplc="AC9C8742">
      <w:start w:val="1"/>
      <w:numFmt w:val="lowerRoman"/>
      <w:lvlText w:val="%6."/>
      <w:lvlJc w:val="right"/>
      <w:pPr>
        <w:ind w:left="4320" w:hanging="180"/>
      </w:pPr>
    </w:lvl>
    <w:lvl w:ilvl="6" w:tplc="8A904B84">
      <w:start w:val="1"/>
      <w:numFmt w:val="decimal"/>
      <w:lvlText w:val="%7."/>
      <w:lvlJc w:val="left"/>
      <w:pPr>
        <w:ind w:left="5040" w:hanging="360"/>
      </w:pPr>
    </w:lvl>
    <w:lvl w:ilvl="7" w:tplc="83943348">
      <w:start w:val="1"/>
      <w:numFmt w:val="lowerLetter"/>
      <w:lvlText w:val="%8."/>
      <w:lvlJc w:val="left"/>
      <w:pPr>
        <w:ind w:left="5760" w:hanging="360"/>
      </w:pPr>
    </w:lvl>
    <w:lvl w:ilvl="8" w:tplc="B9D0E83C">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233CAE"/>
    <w:rsid w:val="00443482"/>
    <w:rsid w:val="00447041"/>
    <w:rsid w:val="004D7114"/>
    <w:rsid w:val="0058464E"/>
    <w:rsid w:val="00674A56"/>
    <w:rsid w:val="00733795"/>
    <w:rsid w:val="007532E3"/>
    <w:rsid w:val="007962A0"/>
    <w:rsid w:val="00894212"/>
    <w:rsid w:val="008A667E"/>
    <w:rsid w:val="009D2B19"/>
    <w:rsid w:val="00B045AF"/>
    <w:rsid w:val="00C00CB4"/>
    <w:rsid w:val="00C64CDA"/>
    <w:rsid w:val="00C922B4"/>
    <w:rsid w:val="00D03AC1"/>
    <w:rsid w:val="00DC274F"/>
    <w:rsid w:val="00DC2CF0"/>
    <w:rsid w:val="00EE3E7C"/>
    <w:rsid w:val="17850625"/>
    <w:rsid w:val="4EEB5DE3"/>
    <w:rsid w:val="52887DF2"/>
    <w:rsid w:val="7AF687E0"/>
    <w:rsid w:val="7BE1F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1F691"/>
  <w15:chartTrackingRefBased/>
  <w15:docId w15:val="{3936CAAE-0810-4A2E-9DF2-B87F5D4C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winton@sserc.sco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6473F-78E5-4D3F-8240-843263B7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A7F922E7</Template>
  <TotalTime>1</TotalTime>
  <Pages>3</Pages>
  <Words>591</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Winton</dc:creator>
  <cp:keywords/>
  <dc:description/>
  <cp:lastModifiedBy>rachael.dorman</cp:lastModifiedBy>
  <cp:revision>2</cp:revision>
  <dcterms:created xsi:type="dcterms:W3CDTF">2019-04-29T15:21:00Z</dcterms:created>
  <dcterms:modified xsi:type="dcterms:W3CDTF">2019-04-29T15:21:00Z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